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8F" w:rsidRPr="0068638F" w:rsidRDefault="0068638F" w:rsidP="0068638F">
      <w:pPr>
        <w:widowControl/>
        <w:spacing w:line="48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8638F" w:rsidRPr="0068638F" w:rsidRDefault="0068638F" w:rsidP="0068638F">
      <w:pPr>
        <w:widowControl/>
        <w:spacing w:after="150" w:line="480" w:lineRule="atLeast"/>
        <w:jc w:val="center"/>
        <w:rPr>
          <w:rFonts w:ascii="宋体" w:eastAsia="宋体" w:hAnsi="宋体" w:cs="宋体"/>
          <w:kern w:val="0"/>
          <w:sz w:val="27"/>
          <w:szCs w:val="27"/>
        </w:rPr>
      </w:pPr>
      <w:bookmarkStart w:id="0" w:name="_GoBack"/>
      <w:r w:rsidRPr="0068638F">
        <w:rPr>
          <w:rFonts w:ascii="微软雅黑" w:eastAsia="微软雅黑" w:hAnsi="微软雅黑" w:cs="宋体" w:hint="eastAsia"/>
          <w:kern w:val="0"/>
          <w:sz w:val="36"/>
          <w:szCs w:val="36"/>
        </w:rPr>
        <w:t>中国建设工程造价管理协会2021年工作要点</w:t>
      </w:r>
      <w:bookmarkEnd w:id="0"/>
    </w:p>
    <w:p w:rsidR="0068638F" w:rsidRPr="0068638F" w:rsidRDefault="0068638F" w:rsidP="0068638F">
      <w:pPr>
        <w:widowControl/>
        <w:spacing w:before="225"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2021年，中国建设工程造价管理协会的总体工作思路是：以习近平新时代中国特色社会主义思想为指导，深入学习贯彻党的十九大和十九届二中、三中、四中、五中全会精神，以推动行业高质量发展为主线，以深化改革创新为动力，以系统化、标准化、信息化工作理念统筹全局，紧跟行业改革发展形势，为“十四五”开好局、起好步，以优异成绩庆祝中国共产党成立100周年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一、突出政治引领作用，提升党建工作实效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（一）加强党的政治建设。用习近平新时代中国特色社会主义思想武装头脑、指导实践、推动工作，坚持把党的政治建设摆在首位，确保党的建设和业务工作双提升、共促进。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（二）夯实党建工作基础。按照上级党委的要求，严格落实组织生活会、民主评议党员和“三会一课”制度，增强党员组织观念，巩固党支部标准化规范化建设成果。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（三）加强宣传引导。紧扣庆祝建党100周年主线，抓好党史学习教育，策划组织主题活动，宣传行业奋发有为精神和真抓实干作风，营造积极向上的舆论氛围。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二、加强自身建设，为行业高质量发展提供保障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（一）完善管理机制。全面系统梳理完善各项规章制度，夯实管理基础，提升管理效能；及时汇集宣传行业新政策、新观点和新实践，传递行业政策风向，展示行业风采。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（二）建立更加有效的沟通协作关系。更好地发挥协会理事会、常务理事会作用，加强与住建、</w:t>
      </w:r>
      <w:proofErr w:type="gramStart"/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发改等</w:t>
      </w:r>
      <w:proofErr w:type="gramEnd"/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有关单位的沟通联系，增强与相关行业协会的业务交流协作，与地方协会、专业工作委员会建立更加紧密的联动机制。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（三）发挥</w:t>
      </w:r>
      <w:proofErr w:type="gramStart"/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行业智库作用</w:t>
      </w:r>
      <w:proofErr w:type="gramEnd"/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。发挥专家委员会作用，做好引领行业高质量发展的课题研究；搭建沟通交流平台，引导企业发挥自身优势开展全过程工程咨询业务，推动企业转型升级。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三、发挥社会组织优势，服务政府部门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一）做好法律法规制修订。发挥好社会组织的桥梁纽带作用，配合做好《建筑法》《建筑工程施工发包与承包计价管理办法》《建设项目总投资费用组成》等法律法规、标准的制修订任务，积极参与工程造价管理改革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（二）当好参谋助手。做好企业资质、人员资格管理服务和相关平台建设，开展2021年一级造价工程师考</w:t>
      </w:r>
      <w:proofErr w:type="gramStart"/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务</w:t>
      </w:r>
      <w:proofErr w:type="gramEnd"/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和继续教育工作；完成2020年行业统计调查分析、工程造价咨询企业诚信监管模式等课题研究。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四、完善会员服务机制，提升会员服务水平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（一）强化会员服务联动。破解会员联动发展与服务难题，坚持以会员需求为导向，创新会员联动机制；整合各类资源，统筹服务项目和内容，协调开展会员服务，组织高端论坛、企业开放日等品牌活动提升行业活力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（二）创新会员服务形式。利用现代信息技术，打造全国造价行业大数据服务平台，通过线上推送、在线直播以及公众号等新媒体形式，向会员提供学习交流、成果共享等多维度精细化服务。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（三）完善会员管理制度。充分了解会员诉求，研究修订《会员管理办法》《资深会员管理办法》，为会员发展与服务提供依据和保障。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五、探索多元化信息服务，推动行业信息化建设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（一）建立行业信息化发展交流机制。结合造价改革和信息化发展趋势，为企业信息化建设搭建沟通和交流平台，鼓励企业建立工程造价数据库。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（二）重视信息化基础建设。开展工程造价信息化标准体系研究，统一信息发布标准和规则；编制《工程造价指标编制指南》，为数据互联互通提供保障。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（三）编制典型工程造价指标。响应会员对工程造价指标的需求，组织编制典型工程造价指标，为行业提供多元化信息服务。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六、培育发展团体标准，构建新型标准体系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（一）推动建立新型标准体系。在研究梳理工程造价国家标准和协会标准的基础上，建立中国工程造价团体标准体系，为工程造价团体标准的制定与修订提供指导。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（二）制定发布团体标准。以快速响应创新和满足市场需求为目标，组织修订《建设工程造价咨询成果文件质量标准》等，发布行业急需的团体标准。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七、建立行业自律新模式，</w:t>
      </w:r>
      <w:proofErr w:type="gramStart"/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助推行业</w:t>
      </w:r>
      <w:proofErr w:type="gramEnd"/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健康发展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（一）创新行业信用体系新模式。适应行政审批制度改革，在现有资质、信用和行业自律基础上，研究构建行业信用管理新模式；积极参与信用中国、住房和城乡建设部信用工作，构建各方协同的工作局面。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（二）完善自律管理机制。发布工程造价咨询行业自律管理办法和行业自律规则，研究搭建全国统一的自律信息共享平台，努力构建行业自律新框架。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八、重视人才队伍建设，完善人才培养体系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（一）协同开展人才培养。完善工程造价人才培养体系，探索构建行业人才培养新模式，充分调动各方积极性，建立协调互动机制，实现行业人才培养全覆盖。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（二）加强高端人才队伍建设。开展工程造价行业高端人才培养研究，建立高端人才的培养、使用和管理机制，发挥高端人才的行业引领作用。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（三）优化人才教育培训方式。搭建沟通交流平台，重点推进“师资库、课程库”两库建设，建立行业人才培养联动机制，分层分类开展教育培训活动。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九、继续加强国际交流合作，促进行业国际化发展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（一）探索多元化国际交流活动。在全球疫情防控形势依然严峻的背景下，探索远程视频、远程参与活动等交流形式，更好参与国际合作。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（二）掌握行业国际动态。组织编制国际工程造价行业动态简报，完成国际工程造价管理案例集，为企业“走出去”提供参考和指导。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十、积极参与社会治理，妥善化解社会矛盾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（一）创新纠纷调解模式。组织开展工程造价纠纷调解经验交流活动，共同探索适合造价行业的纠纷调解模式。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（二）推进企业职业责任保险。加强企业职业责任保险与信用评价、会员服务、纠纷调解的联动，逐步将企业投保、理赔情况纳入信用评价体系。</w:t>
      </w:r>
    </w:p>
    <w:p w:rsidR="0068638F" w:rsidRPr="0068638F" w:rsidRDefault="0068638F" w:rsidP="0068638F">
      <w:pPr>
        <w:widowControl/>
        <w:spacing w:after="150" w:line="480" w:lineRule="atLeast"/>
        <w:ind w:firstLine="480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68638F">
        <w:rPr>
          <w:rFonts w:ascii="微软雅黑" w:eastAsia="微软雅黑" w:hAnsi="微软雅黑" w:cs="宋体" w:hint="eastAsia"/>
          <w:kern w:val="0"/>
          <w:sz w:val="27"/>
          <w:szCs w:val="27"/>
        </w:rPr>
        <w:t>（三）研究造价司法鉴定争议处理机制。以造价司法鉴定投诉举报案件为切入点，研究造价司法鉴定争议处理机制。</w:t>
      </w:r>
    </w:p>
    <w:p w:rsidR="00C019CA" w:rsidRPr="0068638F" w:rsidRDefault="00937980"/>
    <w:sectPr w:rsidR="00C019CA" w:rsidRPr="00686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8F"/>
    <w:rsid w:val="003D2773"/>
    <w:rsid w:val="0068638F"/>
    <w:rsid w:val="00937980"/>
    <w:rsid w:val="00D3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63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638F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68638F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686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63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638F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68638F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68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834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342</Words>
  <Characters>1954</Characters>
  <Application>Microsoft Office Word</Application>
  <DocSecurity>0</DocSecurity>
  <Lines>16</Lines>
  <Paragraphs>4</Paragraphs>
  <ScaleCrop>false</ScaleCrop>
  <Company>微软中国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2021-04-16T08:05:00Z</dcterms:created>
  <dcterms:modified xsi:type="dcterms:W3CDTF">2021-04-16T08:05:00Z</dcterms:modified>
</cp:coreProperties>
</file>