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20" w:lineRule="exact"/>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单选题：</w:t>
      </w: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highlight w:val="none"/>
          <w:lang w:val="en-US" w:eastAsia="zh" w:bidi="ar"/>
        </w:rPr>
      </w:pPr>
      <w:r>
        <w:rPr>
          <w:rFonts w:hint="eastAsia" w:ascii="宋体" w:hAnsi="宋体" w:eastAsia="宋体" w:cs="宋体"/>
          <w:color w:val="000000"/>
          <w:kern w:val="0"/>
          <w:sz w:val="28"/>
          <w:szCs w:val="28"/>
          <w:highlight w:val="none"/>
          <w:lang w:val="en-US" w:eastAsia="zh-CN" w:bidi="ar"/>
        </w:rPr>
        <w:t xml:space="preserve">1、依据《建设工程工程量清单计价规范》(GB50500-2013)，下列施工合同约定调整合同价款的事项中，属于工程变更类型的是( </w:t>
      </w:r>
      <w:r>
        <w:rPr>
          <w:rFonts w:hint="default" w:ascii="宋体" w:hAnsi="宋体" w:eastAsia="宋体" w:cs="宋体"/>
          <w:color w:val="000000"/>
          <w:kern w:val="0"/>
          <w:sz w:val="28"/>
          <w:szCs w:val="28"/>
          <w:highlight w:val="none"/>
          <w:lang w:val="en-US" w:eastAsia="zh-CN" w:bidi="ar"/>
        </w:rPr>
        <w:t xml:space="preserve"> </w:t>
      </w:r>
      <w:r>
        <w:rPr>
          <w:rFonts w:hint="eastAsia" w:ascii="宋体" w:hAnsi="宋体" w:eastAsia="宋体" w:cs="宋体"/>
          <w:color w:val="000000"/>
          <w:kern w:val="0"/>
          <w:sz w:val="28"/>
          <w:szCs w:val="28"/>
          <w:highlight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A.法律法规变化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B.追加额外工作</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C.物价波动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D.误期赔偿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420" w:lineRule="exac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2、依据《建设工程工程量清单计价规范》(GB50500-2013)，以下关于工程计量的原则和范围，说法不正确的是(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A.因承包人原因造成返工的工程量，发包人不予计量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B.工程计量的编制依据不包括质量合格证书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C.因承包人原因造成的超出合同范围施工的工程量，发包人不予计量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D.因工程变更引起的工程量变化，发包人应予计量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 xml:space="preserve">3、依据《建设工程工程量清单计价规范》(G505002013),关于工程量清单及其编制,下列说法正确的是( </w:t>
      </w:r>
      <w:r>
        <w:rPr>
          <w:rFonts w:hint="default" w:ascii="宋体" w:hAnsi="宋体" w:eastAsia="宋体" w:cs="宋体"/>
          <w:color w:val="000000"/>
          <w:kern w:val="0"/>
          <w:sz w:val="28"/>
          <w:szCs w:val="28"/>
          <w:highlight w:val="none"/>
          <w:lang w:val="en-US" w:eastAsia="zh-CN" w:bidi="ar"/>
        </w:rPr>
        <w:t xml:space="preserve">  </w:t>
      </w:r>
      <w:r>
        <w:rPr>
          <w:rFonts w:hint="eastAsia" w:ascii="宋体" w:hAnsi="宋体" w:eastAsia="宋体" w:cs="宋体"/>
          <w:color w:val="000000"/>
          <w:kern w:val="0"/>
          <w:sz w:val="28"/>
          <w:szCs w:val="28"/>
          <w:highlight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A.招标工程量清单的完整性由招标代理人负责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B.招标工程量清单应以单位（项）工程为单位编制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C.招标工程量清单的准确性由招标代理人负责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D.招标工程量清单的组成不包括其他项目清单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 xml:space="preserve">4、依据《建设工程工程量清单计价规范》(GB50500-2013)，关于编制竣工结算文件应遵循的计价原则，下列说法正确的是( </w:t>
      </w:r>
      <w:r>
        <w:rPr>
          <w:rFonts w:hint="default" w:ascii="宋体" w:hAnsi="宋体" w:eastAsia="宋体" w:cs="宋体"/>
          <w:color w:val="000000"/>
          <w:kern w:val="0"/>
          <w:sz w:val="28"/>
          <w:szCs w:val="28"/>
          <w:highlight w:val="none"/>
          <w:lang w:val="en-US" w:eastAsia="zh-CN" w:bidi="ar"/>
        </w:rPr>
        <w:t xml:space="preserve"> </w:t>
      </w:r>
      <w:r>
        <w:rPr>
          <w:rFonts w:hint="eastAsia" w:ascii="宋体" w:hAnsi="宋体" w:eastAsia="宋体" w:cs="宋体"/>
          <w:color w:val="000000"/>
          <w:kern w:val="0"/>
          <w:sz w:val="28"/>
          <w:szCs w:val="28"/>
          <w:highlight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A.安全文明施工费应依据已标价工程量清单约定金额计算，不得调整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B.总承包服务费应依据合同约定金额计算，不得调整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C.现场签证应依据合同约定的确认方式予以确认</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D.暂列金额如有余额归承包人所有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 xml:space="preserve">5、依据《建设工程工程量清单计价规范》(GB50500-2013)，因不可抗力解除合同的，发包人应向承包人支付的金额中不应包括( </w:t>
      </w:r>
      <w:r>
        <w:rPr>
          <w:rFonts w:hint="default" w:ascii="宋体" w:hAnsi="宋体" w:eastAsia="宋体" w:cs="宋体"/>
          <w:color w:val="000000"/>
          <w:kern w:val="0"/>
          <w:sz w:val="28"/>
          <w:szCs w:val="28"/>
          <w:highlight w:val="none"/>
          <w:lang w:val="en-US" w:eastAsia="zh-CN" w:bidi="ar"/>
        </w:rPr>
        <w:t xml:space="preserve"> </w:t>
      </w:r>
      <w:r>
        <w:rPr>
          <w:rFonts w:hint="eastAsia" w:ascii="宋体" w:hAnsi="宋体" w:eastAsia="宋体" w:cs="宋体"/>
          <w:color w:val="000000"/>
          <w:kern w:val="0"/>
          <w:sz w:val="28"/>
          <w:szCs w:val="28"/>
          <w:highlight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A.运至施工场地用于施工的材料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B.承包人的员工遭送费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C.承包人的施工机械设备损坏费用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D.已完工程的措施费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6、依据《建设工程工程量清单计价规范》(GB50500-2013)，在工程量清单中，最能体现分部分项工程项目自身价值的本质是(</w:t>
      </w:r>
      <w:r>
        <w:rPr>
          <w:rFonts w:hint="default" w:ascii="宋体" w:hAnsi="宋体" w:eastAsia="宋体" w:cs="宋体"/>
          <w:color w:val="000000"/>
          <w:kern w:val="0"/>
          <w:sz w:val="28"/>
          <w:szCs w:val="28"/>
          <w:highlight w:val="none"/>
          <w:lang w:val="en-US" w:eastAsia="zh-CN" w:bidi="ar"/>
        </w:rPr>
        <w:t xml:space="preserve"> </w:t>
      </w:r>
      <w:r>
        <w:rPr>
          <w:rFonts w:hint="eastAsia" w:ascii="宋体" w:hAnsi="宋体" w:eastAsia="宋体" w:cs="宋体"/>
          <w:color w:val="000000"/>
          <w:kern w:val="0"/>
          <w:sz w:val="28"/>
          <w:szCs w:val="28"/>
          <w:highlight w:val="non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A.项目特征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B.项目编码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C.项目名称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D.项目计量单位</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420" w:lineRule="exact"/>
        <w:ind w:left="0" w:right="0"/>
        <w:jc w:val="both"/>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7、依据《福建省房屋建筑工程总承包模拟清单计量规则（2022 年版》，</w:t>
      </w:r>
      <w:r>
        <w:rPr>
          <w:rFonts w:hint="eastAsia" w:ascii="宋体" w:hAnsi="宋体" w:eastAsia="宋体" w:cs="宋体"/>
          <w:sz w:val="28"/>
          <w:szCs w:val="28"/>
          <w:highlight w:val="none"/>
        </w:rPr>
        <w:t>初步设计图纸未明确的下列情形，其项目特征可描述为“综合考虑”</w:t>
      </w:r>
      <w:r>
        <w:rPr>
          <w:rFonts w:hint="eastAsia" w:ascii="宋体" w:hAnsi="宋体" w:eastAsia="宋体" w:cs="宋体"/>
          <w:sz w:val="28"/>
          <w:szCs w:val="28"/>
          <w:highlight w:val="none"/>
          <w:lang w:val="en-US" w:eastAsia="zh-CN"/>
        </w:rPr>
        <w:t>的是（</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lang w:eastAsia="zh-CN"/>
        </w:rPr>
        <w:t>。</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A.打实验桩</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B.沉管灌注桩复打</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C.在强夯后的地基上打桩</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D.成孔灌注桩中的空孔回填材料以及凿桩头、桩头外运运距</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8、依据《福建省房屋建筑工程总承包模拟清单计量规则（2022 年版》，</w:t>
      </w:r>
      <w:r>
        <w:rPr>
          <w:rFonts w:hint="eastAsia" w:ascii="宋体" w:hAnsi="宋体" w:eastAsia="宋体" w:cs="宋体"/>
          <w:sz w:val="28"/>
          <w:szCs w:val="28"/>
          <w:highlight w:val="none"/>
        </w:rPr>
        <w:t>工程结算时,预制钢筋混凝土方桩、预制钢筋混凝土管桩桩身材料用量按经确认的配桩长度加上桩身损耗率（</w:t>
      </w:r>
      <w:r>
        <w:rPr>
          <w:rFonts w:hint="default" w:ascii="宋体" w:hAnsi="宋体" w:eastAsia="宋体" w:cs="宋体"/>
          <w:sz w:val="28"/>
          <w:szCs w:val="28"/>
          <w:highlight w:val="none"/>
          <w:lang w:val="en-US"/>
        </w:rPr>
        <w:t xml:space="preserve">  </w:t>
      </w:r>
      <w:r>
        <w:rPr>
          <w:rFonts w:hint="eastAsia" w:ascii="宋体" w:hAnsi="宋体" w:eastAsia="宋体" w:cs="宋体"/>
          <w:sz w:val="28"/>
          <w:szCs w:val="28"/>
          <w:highlight w:val="none"/>
        </w:rPr>
        <w:t>）计算。</w:t>
      </w:r>
      <w:r>
        <w:rPr>
          <w:rFonts w:hint="eastAsia" w:ascii="宋体" w:hAnsi="宋体" w:eastAsia="宋体" w:cs="宋体"/>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A.0.5％</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B.0.8％</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C.1％</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D.1.5％</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highlight w:val="none"/>
          <w:lang w:val="en-US" w:eastAsia="zh-CN"/>
        </w:rPr>
      </w:pPr>
      <w:r>
        <w:rPr>
          <w:rFonts w:hint="eastAsia" w:ascii="宋体" w:hAnsi="宋体" w:eastAsia="宋体" w:cs="宋体"/>
          <w:kern w:val="2"/>
          <w:sz w:val="28"/>
          <w:szCs w:val="28"/>
          <w:highlight w:val="none"/>
          <w:lang w:val="en-US" w:eastAsia="zh-CN" w:bidi="ar-SA"/>
        </w:rPr>
        <w:t>9、依据《福建省房屋建筑工程总承包模拟清单计量规则（2022 年版》，</w:t>
      </w:r>
      <w:r>
        <w:rPr>
          <w:rFonts w:hint="eastAsia" w:ascii="宋体" w:hAnsi="宋体" w:eastAsia="宋体" w:cs="宋体"/>
          <w:sz w:val="28"/>
          <w:szCs w:val="28"/>
          <w:highlight w:val="none"/>
        </w:rPr>
        <w:t>初步设计图纸未明确的下列情形，其项目特征可描述为“综合考虑”</w:t>
      </w:r>
      <w:r>
        <w:rPr>
          <w:rFonts w:hint="eastAsia" w:ascii="宋体" w:hAnsi="宋体" w:eastAsia="宋体" w:cs="宋体"/>
          <w:sz w:val="28"/>
          <w:szCs w:val="28"/>
          <w:highlight w:val="none"/>
          <w:lang w:val="en-US" w:eastAsia="zh-CN"/>
        </w:rPr>
        <w:t>的是（</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A.</w:t>
      </w:r>
      <w:r>
        <w:rPr>
          <w:rFonts w:hint="eastAsia" w:ascii="宋体" w:hAnsi="宋体" w:eastAsia="宋体" w:cs="宋体"/>
          <w:sz w:val="28"/>
          <w:szCs w:val="28"/>
          <w:highlight w:val="none"/>
        </w:rPr>
        <w:t>压型钢板上浇捣混凝土</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w:t>
      </w:r>
      <w:r>
        <w:rPr>
          <w:rFonts w:hint="eastAsia" w:ascii="宋体" w:hAnsi="宋体" w:eastAsia="宋体" w:cs="宋体"/>
          <w:sz w:val="28"/>
          <w:szCs w:val="28"/>
          <w:highlight w:val="none"/>
        </w:rPr>
        <w:t>大体积混凝土</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w:t>
      </w:r>
      <w:r>
        <w:rPr>
          <w:rFonts w:hint="eastAsia" w:ascii="宋体" w:hAnsi="宋体" w:eastAsia="宋体" w:cs="宋体"/>
          <w:sz w:val="28"/>
          <w:szCs w:val="28"/>
          <w:highlight w:val="none"/>
        </w:rPr>
        <w:t>混凝土</w:t>
      </w:r>
      <w:r>
        <w:rPr>
          <w:rFonts w:hint="eastAsia" w:ascii="宋体" w:hAnsi="宋体" w:eastAsia="宋体" w:cs="宋体"/>
          <w:sz w:val="28"/>
          <w:szCs w:val="28"/>
          <w:highlight w:val="none"/>
          <w:lang w:eastAsia="zh-CN"/>
        </w:rPr>
        <w:t>的种类</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D.</w:t>
      </w:r>
      <w:r>
        <w:rPr>
          <w:rFonts w:hint="eastAsia" w:ascii="宋体" w:hAnsi="宋体" w:eastAsia="宋体" w:cs="宋体"/>
          <w:sz w:val="28"/>
          <w:szCs w:val="28"/>
          <w:highlight w:val="none"/>
        </w:rPr>
        <w:t>毛石基础中的毛石比例</w:t>
      </w:r>
    </w:p>
    <w:p>
      <w:pPr>
        <w:keepNext w:val="0"/>
        <w:keepLines w:val="0"/>
        <w:pageBreakBefore w:val="0"/>
        <w:numPr>
          <w:ilvl w:val="0"/>
          <w:numId w:val="0"/>
        </w:numPr>
        <w:kinsoku/>
        <w:wordWrap/>
        <w:overflowPunct/>
        <w:topLinePunct w:val="0"/>
        <w:autoSpaceDE/>
        <w:autoSpaceDN/>
        <w:bidi w:val="0"/>
        <w:adjustRightInd/>
        <w:spacing w:line="420" w:lineRule="exact"/>
        <w:textAlignment w:val="auto"/>
        <w:rPr>
          <w:rFonts w:hint="eastAsia" w:ascii="宋体" w:hAnsi="宋体" w:eastAsia="宋体" w:cs="宋体"/>
          <w:kern w:val="2"/>
          <w:sz w:val="28"/>
          <w:szCs w:val="28"/>
          <w:highlight w:val="none"/>
          <w:lang w:val="en-US" w:eastAsia="zh-CN" w:bidi="ar-SA"/>
        </w:rPr>
      </w:pPr>
    </w:p>
    <w:p>
      <w:pPr>
        <w:keepNext w:val="0"/>
        <w:keepLines w:val="0"/>
        <w:pageBreakBefore w:val="0"/>
        <w:numPr>
          <w:ilvl w:val="0"/>
          <w:numId w:val="0"/>
        </w:numPr>
        <w:kinsoku/>
        <w:wordWrap/>
        <w:overflowPunct/>
        <w:topLinePunct w:val="0"/>
        <w:autoSpaceDE/>
        <w:autoSpaceDN/>
        <w:bidi w:val="0"/>
        <w:adjustRightInd/>
        <w:spacing w:line="420" w:lineRule="exact"/>
        <w:ind w:leftChars="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10、依据《福建省房屋建筑工程总承包模拟清单计量规则（2022 年版》，关于</w:t>
      </w:r>
      <w:r>
        <w:rPr>
          <w:rFonts w:hint="eastAsia" w:ascii="宋体" w:hAnsi="宋体" w:eastAsia="宋体" w:cs="宋体"/>
          <w:sz w:val="28"/>
          <w:szCs w:val="28"/>
          <w:highlight w:val="none"/>
        </w:rPr>
        <w:t>现浇混凝土柱</w:t>
      </w:r>
      <w:r>
        <w:rPr>
          <w:rFonts w:hint="eastAsia" w:ascii="宋体" w:hAnsi="宋体" w:eastAsia="宋体" w:cs="宋体"/>
          <w:sz w:val="28"/>
          <w:szCs w:val="28"/>
          <w:highlight w:val="none"/>
          <w:lang w:val="en-US" w:eastAsia="zh-CN"/>
        </w:rPr>
        <w:t>柱高规定，错误的是（</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A.</w:t>
      </w:r>
      <w:r>
        <w:rPr>
          <w:rFonts w:hint="eastAsia" w:ascii="宋体" w:hAnsi="宋体" w:eastAsia="宋体" w:cs="宋体"/>
          <w:sz w:val="28"/>
          <w:szCs w:val="28"/>
          <w:highlight w:val="none"/>
        </w:rPr>
        <w:t>有梁板的柱高：自柱基上表面(或楼板上表面)至上一层楼板上表面之间的高度</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B.</w:t>
      </w:r>
      <w:r>
        <w:rPr>
          <w:rFonts w:hint="eastAsia" w:ascii="宋体" w:hAnsi="宋体" w:eastAsia="宋体" w:cs="宋体"/>
          <w:sz w:val="28"/>
          <w:szCs w:val="28"/>
          <w:highlight w:val="none"/>
        </w:rPr>
        <w:t>无梁板的柱高：自柱基上表面(或楼板上表面)至柱帽下表面之间的高度</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C.</w:t>
      </w:r>
      <w:r>
        <w:rPr>
          <w:rFonts w:hint="eastAsia" w:ascii="宋体" w:hAnsi="宋体" w:eastAsia="宋体" w:cs="宋体"/>
          <w:sz w:val="28"/>
          <w:szCs w:val="28"/>
          <w:highlight w:val="none"/>
        </w:rPr>
        <w:t>框架柱的柱高：自柱基上表面(或楼板上表面)至上一层楼板</w:t>
      </w:r>
      <w:r>
        <w:rPr>
          <w:rFonts w:hint="eastAsia" w:ascii="宋体" w:hAnsi="宋体" w:eastAsia="宋体" w:cs="宋体"/>
          <w:sz w:val="28"/>
          <w:szCs w:val="28"/>
          <w:highlight w:val="none"/>
          <w:lang w:val="en-US" w:eastAsia="zh-CN"/>
        </w:rPr>
        <w:t>下</w:t>
      </w:r>
      <w:r>
        <w:rPr>
          <w:rFonts w:hint="eastAsia" w:ascii="宋体" w:hAnsi="宋体" w:eastAsia="宋体" w:cs="宋体"/>
          <w:sz w:val="28"/>
          <w:szCs w:val="28"/>
          <w:highlight w:val="none"/>
        </w:rPr>
        <w:t>表面之间的高度</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D.</w:t>
      </w:r>
      <w:r>
        <w:rPr>
          <w:rFonts w:hint="eastAsia" w:ascii="宋体" w:hAnsi="宋体" w:eastAsia="宋体" w:cs="宋体"/>
          <w:sz w:val="28"/>
          <w:szCs w:val="28"/>
          <w:highlight w:val="none"/>
        </w:rPr>
        <w:t>框架柱的柱高：自柱基上表面(或楼板上表面)至上一层楼板上表面之间的高度</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420" w:lineRule="exact"/>
        <w:ind w:left="0" w:leftChars="0" w:right="0" w:firstLine="0" w:firstLineChars="0"/>
        <w:jc w:val="both"/>
        <w:textAlignment w:val="auto"/>
        <w:rPr>
          <w:rFonts w:hint="eastAsia" w:ascii="宋体" w:hAnsi="宋体" w:eastAsia="宋体" w:cs="宋体"/>
          <w:sz w:val="28"/>
          <w:szCs w:val="28"/>
          <w:highlight w:val="none"/>
          <w:lang w:val="en-US" w:eastAsia="zh-CN"/>
        </w:rPr>
      </w:pPr>
      <w:r>
        <w:rPr>
          <w:rFonts w:hint="eastAsia" w:eastAsia="宋体" w:cs="宋体"/>
          <w:kern w:val="2"/>
          <w:sz w:val="28"/>
          <w:szCs w:val="28"/>
          <w:highlight w:val="none"/>
          <w:lang w:val="en-US" w:eastAsia="zh-CN" w:bidi="ar-SA"/>
        </w:rPr>
        <w:t>11</w:t>
      </w:r>
      <w:r>
        <w:rPr>
          <w:rFonts w:hint="eastAsia" w:ascii="宋体" w:hAnsi="宋体" w:eastAsia="宋体" w:cs="宋体"/>
          <w:kern w:val="2"/>
          <w:sz w:val="28"/>
          <w:szCs w:val="28"/>
          <w:highlight w:val="none"/>
          <w:lang w:val="en-US" w:eastAsia="zh-CN" w:bidi="ar-SA"/>
        </w:rPr>
        <w:t>、依据《福建省房屋建筑工程总承包模拟清单计量规则（2022 年版》</w:t>
      </w:r>
      <w:r>
        <w:rPr>
          <w:rFonts w:hint="eastAsia" w:ascii="宋体" w:hAnsi="宋体" w:eastAsia="宋体" w:cs="宋体"/>
          <w:sz w:val="28"/>
          <w:szCs w:val="28"/>
          <w:highlight w:val="none"/>
        </w:rPr>
        <w:t>，零星项目清单适用于</w:t>
      </w:r>
      <w:r>
        <w:rPr>
          <w:rFonts w:hint="eastAsia" w:ascii="宋体" w:hAnsi="宋体" w:eastAsia="宋体" w:cs="宋体"/>
          <w:sz w:val="28"/>
          <w:szCs w:val="28"/>
          <w:highlight w:val="none"/>
          <w:lang w:eastAsia="zh-CN"/>
        </w:rPr>
        <w:t>（</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㎡以内的抹灰、油漆（涂料）、石板材、块料面层</w:t>
      </w:r>
      <w:r>
        <w:rPr>
          <w:rFonts w:hint="eastAsia" w:ascii="宋体" w:hAnsi="宋体" w:eastAsia="宋体" w:cs="宋体"/>
          <w:sz w:val="28"/>
          <w:szCs w:val="28"/>
          <w:highlight w:val="none"/>
          <w:lang w:eastAsia="zh-CN"/>
        </w:rPr>
        <w:t>。</w:t>
      </w:r>
      <w:r>
        <w:rPr>
          <w:rFonts w:hint="eastAsia" w:ascii="宋体" w:hAnsi="宋体" w:eastAsia="宋体" w:cs="宋体"/>
          <w:kern w:val="2"/>
          <w:sz w:val="28"/>
          <w:szCs w:val="28"/>
          <w:highlight w:val="none"/>
          <w:lang w:val="en-US" w:eastAsia="zh-CN" w:bidi="ar-SA"/>
        </w:rPr>
        <w:t xml:space="preserve">  </w:t>
      </w:r>
      <w:r>
        <w:rPr>
          <w:rFonts w:hint="eastAsia" w:ascii="宋体" w:hAnsi="宋体" w:eastAsia="宋体" w:cs="宋体"/>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A.0.3</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B.0.5</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C.0.8</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D.1</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snapToGrid w:val="0"/>
        <w:spacing w:line="420" w:lineRule="exact"/>
        <w:ind w:leftChars="0"/>
        <w:textAlignment w:val="auto"/>
        <w:rPr>
          <w:rFonts w:hint="eastAsia" w:ascii="宋体" w:hAnsi="宋体" w:eastAsia="宋体" w:cs="宋体"/>
          <w:sz w:val="28"/>
          <w:szCs w:val="28"/>
          <w:highlight w:val="none"/>
          <w:lang w:val="en-US" w:eastAsia="zh-CN"/>
        </w:rPr>
      </w:pPr>
      <w:r>
        <w:rPr>
          <w:rFonts w:hint="eastAsia" w:eastAsia="宋体" w:cs="宋体"/>
          <w:sz w:val="28"/>
          <w:szCs w:val="28"/>
          <w:highlight w:val="none"/>
          <w:lang w:val="en-US" w:eastAsia="zh-CN"/>
        </w:rPr>
        <w:t>12</w:t>
      </w:r>
      <w:r>
        <w:rPr>
          <w:rFonts w:hint="eastAsia" w:ascii="宋体" w:hAnsi="宋体" w:eastAsia="宋体" w:cs="宋体"/>
          <w:sz w:val="28"/>
          <w:szCs w:val="28"/>
          <w:highlight w:val="none"/>
          <w:lang w:val="en-US" w:eastAsia="zh-CN"/>
        </w:rPr>
        <w:t>、</w:t>
      </w:r>
      <w:r>
        <w:rPr>
          <w:rFonts w:hint="eastAsia" w:eastAsia="宋体" w:cs="宋体"/>
          <w:kern w:val="2"/>
          <w:sz w:val="28"/>
          <w:szCs w:val="28"/>
          <w:highlight w:val="none"/>
          <w:lang w:val="en-US" w:eastAsia="zh-CN" w:bidi="ar-SA"/>
        </w:rPr>
        <w:t>依据</w:t>
      </w:r>
      <w:r>
        <w:rPr>
          <w:rFonts w:hint="eastAsia" w:ascii="宋体" w:hAnsi="宋体" w:eastAsia="宋体" w:cs="宋体"/>
          <w:kern w:val="2"/>
          <w:sz w:val="28"/>
          <w:szCs w:val="28"/>
          <w:highlight w:val="none"/>
          <w:lang w:val="en-US" w:eastAsia="zh-CN" w:bidi="ar-SA"/>
        </w:rPr>
        <w:t>《福建省房屋建筑工程总承包模拟清单计量规则（2022 年版》，</w:t>
      </w:r>
      <w:r>
        <w:rPr>
          <w:rFonts w:hint="eastAsia" w:ascii="宋体" w:hAnsi="宋体" w:eastAsia="宋体" w:cs="宋体"/>
          <w:sz w:val="28"/>
          <w:szCs w:val="28"/>
          <w:highlight w:val="none"/>
        </w:rPr>
        <w:t>现浇混凝土栏板上的压顶、小柱，以及天沟(檐沟)、挑檐、雨篷＞</w:t>
      </w:r>
      <w:r>
        <w:rPr>
          <w:rFonts w:hint="eastAsia" w:ascii="宋体" w:hAnsi="宋体" w:eastAsia="宋体" w:cs="宋体"/>
          <w:sz w:val="28"/>
          <w:szCs w:val="28"/>
          <w:highlight w:val="none"/>
          <w:lang w:eastAsia="zh-CN"/>
        </w:rPr>
        <w:t>（</w:t>
      </w:r>
      <w:r>
        <w:rPr>
          <w:rFonts w:hint="default"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mm的反梁，均并入栏板计算。屋面檐口斜板上的压顶、肋板或小柱并入屋面檐口斜板，按栏板计算。</w:t>
      </w:r>
      <w:r>
        <w:rPr>
          <w:rFonts w:hint="eastAsia" w:ascii="宋体" w:hAnsi="宋体" w:eastAsia="宋体" w:cs="宋体"/>
          <w:kern w:val="2"/>
          <w:sz w:val="28"/>
          <w:szCs w:val="28"/>
          <w:highlight w:val="none"/>
          <w:lang w:val="en-US" w:eastAsia="zh-CN" w:bidi="ar-SA"/>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A.250</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B.300</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C.350</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D.400</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pStyle w:val="21"/>
        <w:keepNext w:val="0"/>
        <w:keepLines w:val="0"/>
        <w:pageBreakBefore w:val="0"/>
        <w:kinsoku/>
        <w:wordWrap/>
        <w:overflowPunct/>
        <w:topLinePunct w:val="0"/>
        <w:autoSpaceDE/>
        <w:autoSpaceDN/>
        <w:bidi w:val="0"/>
        <w:adjustRightInd/>
        <w:spacing w:line="420" w:lineRule="exact"/>
        <w:ind w:left="0" w:leftChars="0" w:firstLine="0" w:firstLineChars="0"/>
        <w:textAlignment w:val="auto"/>
        <w:rPr>
          <w:rFonts w:hint="eastAsia" w:ascii="宋体" w:hAnsi="宋体" w:eastAsia="宋体" w:cs="宋体"/>
          <w:sz w:val="28"/>
          <w:szCs w:val="28"/>
          <w:highlight w:val="none"/>
          <w:lang w:val="en-US" w:eastAsia="zh-CN"/>
        </w:rPr>
      </w:pPr>
      <w:r>
        <w:rPr>
          <w:rFonts w:hint="eastAsia" w:eastAsia="宋体" w:cs="宋体"/>
          <w:sz w:val="28"/>
          <w:szCs w:val="28"/>
          <w:highlight w:val="none"/>
          <w:lang w:val="en-US" w:eastAsia="zh-CN"/>
        </w:rPr>
        <w:t>13</w:t>
      </w:r>
      <w:r>
        <w:rPr>
          <w:rFonts w:hint="eastAsia" w:ascii="宋体" w:hAnsi="宋体" w:eastAsia="宋体" w:cs="宋体"/>
          <w:sz w:val="28"/>
          <w:szCs w:val="28"/>
          <w:highlight w:val="none"/>
          <w:lang w:val="en-US" w:eastAsia="zh-CN"/>
        </w:rPr>
        <w:t>、</w:t>
      </w:r>
      <w:r>
        <w:rPr>
          <w:rFonts w:hint="eastAsia" w:eastAsia="宋体" w:cs="宋体"/>
          <w:kern w:val="2"/>
          <w:sz w:val="28"/>
          <w:szCs w:val="28"/>
          <w:highlight w:val="none"/>
          <w:lang w:val="en-US" w:eastAsia="zh-CN" w:bidi="ar-SA"/>
        </w:rPr>
        <w:t>依据</w:t>
      </w:r>
      <w:r>
        <w:rPr>
          <w:rFonts w:hint="eastAsia" w:ascii="宋体" w:hAnsi="宋体" w:eastAsia="宋体" w:cs="宋体"/>
          <w:kern w:val="2"/>
          <w:sz w:val="28"/>
          <w:szCs w:val="28"/>
          <w:highlight w:val="none"/>
          <w:lang w:val="en-US" w:eastAsia="zh-CN" w:bidi="ar-SA"/>
        </w:rPr>
        <w:t>《福建省房屋建筑工程总承包模拟清单计量规则（2022 年版》，</w:t>
      </w:r>
      <w:r>
        <w:rPr>
          <w:rFonts w:hint="eastAsia" w:ascii="宋体" w:hAnsi="宋体" w:eastAsia="宋体" w:cs="宋体"/>
          <w:sz w:val="28"/>
          <w:szCs w:val="28"/>
          <w:highlight w:val="none"/>
        </w:rPr>
        <w:t>超高施工加压水泵费适用于建筑物檐高超过</w:t>
      </w:r>
      <w:r>
        <w:rPr>
          <w:rFonts w:hint="eastAsia" w:ascii="宋体" w:hAnsi="宋体" w:eastAsia="宋体" w:cs="宋体"/>
          <w:sz w:val="28"/>
          <w:szCs w:val="28"/>
          <w:highlight w:val="none"/>
          <w:lang w:eastAsia="zh-CN"/>
        </w:rPr>
        <w:t>（</w:t>
      </w:r>
      <w:r>
        <w:rPr>
          <w:rFonts w:hint="default"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m时所增加的加压水泵费用</w:t>
      </w:r>
      <w:r>
        <w:rPr>
          <w:rFonts w:hint="eastAsia" w:ascii="宋体" w:hAnsi="宋体" w:eastAsia="宋体" w:cs="宋体"/>
          <w:sz w:val="28"/>
          <w:szCs w:val="28"/>
          <w:highlight w:val="none"/>
          <w:lang w:eastAsia="zh-CN"/>
        </w:rPr>
        <w:t>。</w:t>
      </w:r>
      <w:r>
        <w:rPr>
          <w:rFonts w:hint="eastAsia" w:ascii="宋体" w:hAnsi="宋体" w:eastAsia="宋体" w:cs="宋体"/>
          <w:kern w:val="2"/>
          <w:sz w:val="28"/>
          <w:szCs w:val="28"/>
          <w:highlight w:val="none"/>
          <w:lang w:val="en-US" w:eastAsia="zh-CN" w:bidi="ar-SA"/>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A.10</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B.15</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C.20</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D.25</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pStyle w:val="21"/>
        <w:keepNext w:val="0"/>
        <w:keepLines w:val="0"/>
        <w:pageBreakBefore w:val="0"/>
        <w:kinsoku/>
        <w:wordWrap/>
        <w:overflowPunct/>
        <w:topLinePunct w:val="0"/>
        <w:autoSpaceDE/>
        <w:autoSpaceDN/>
        <w:bidi w:val="0"/>
        <w:adjustRightInd/>
        <w:spacing w:line="420" w:lineRule="exact"/>
        <w:ind w:left="0" w:leftChars="0" w:firstLine="0" w:firstLineChars="0"/>
        <w:textAlignment w:val="auto"/>
        <w:rPr>
          <w:rFonts w:hint="eastAsia" w:ascii="宋体" w:hAnsi="宋体" w:eastAsia="宋体" w:cs="宋体"/>
          <w:b/>
          <w:bCs/>
          <w:sz w:val="28"/>
          <w:szCs w:val="28"/>
          <w:highlight w:val="none"/>
          <w:lang w:val="en-US" w:eastAsia="zh-CN"/>
        </w:rPr>
      </w:pPr>
      <w:r>
        <w:rPr>
          <w:rFonts w:hint="eastAsia" w:eastAsia="宋体" w:cs="宋体"/>
          <w:kern w:val="2"/>
          <w:sz w:val="28"/>
          <w:szCs w:val="28"/>
          <w:highlight w:val="none"/>
          <w:lang w:val="en-US" w:eastAsia="zh-CN" w:bidi="ar-SA"/>
        </w:rPr>
        <w:t>14</w:t>
      </w:r>
      <w:r>
        <w:rPr>
          <w:rFonts w:hint="eastAsia" w:ascii="宋体" w:hAnsi="宋体" w:eastAsia="宋体" w:cs="宋体"/>
          <w:kern w:val="2"/>
          <w:sz w:val="28"/>
          <w:szCs w:val="28"/>
          <w:highlight w:val="none"/>
          <w:lang w:val="en-US" w:eastAsia="zh-CN" w:bidi="ar-SA"/>
        </w:rPr>
        <w:t>、</w:t>
      </w:r>
      <w:r>
        <w:rPr>
          <w:rFonts w:hint="eastAsia" w:eastAsia="宋体" w:cs="宋体"/>
          <w:kern w:val="2"/>
          <w:sz w:val="28"/>
          <w:szCs w:val="28"/>
          <w:highlight w:val="none"/>
          <w:lang w:val="en-US" w:eastAsia="zh-CN" w:bidi="ar-SA"/>
        </w:rPr>
        <w:t>依据</w:t>
      </w:r>
      <w:r>
        <w:rPr>
          <w:rFonts w:hint="eastAsia" w:ascii="宋体" w:hAnsi="宋体" w:eastAsia="宋体" w:cs="宋体"/>
          <w:kern w:val="2"/>
          <w:sz w:val="28"/>
          <w:szCs w:val="28"/>
          <w:highlight w:val="none"/>
          <w:lang w:val="en-US" w:eastAsia="zh-CN" w:bidi="ar-SA"/>
        </w:rPr>
        <w:t>《福建省房屋建筑工程总承包模拟清单计量规则（2022 年版》，</w:t>
      </w:r>
      <w:r>
        <w:rPr>
          <w:rFonts w:hint="eastAsia" w:ascii="宋体" w:hAnsi="宋体" w:eastAsia="宋体" w:cs="宋体"/>
          <w:sz w:val="28"/>
          <w:szCs w:val="28"/>
          <w:highlight w:val="none"/>
        </w:rPr>
        <w:t>模拟清单不可预见费按所在单位（项）工程造价的</w:t>
      </w:r>
      <w:r>
        <w:rPr>
          <w:rFonts w:hint="eastAsia" w:ascii="宋体" w:hAnsi="宋体" w:eastAsia="宋体" w:cs="宋体"/>
          <w:sz w:val="28"/>
          <w:szCs w:val="28"/>
          <w:highlight w:val="none"/>
          <w:lang w:eastAsia="zh-CN"/>
        </w:rPr>
        <w:t>（</w:t>
      </w:r>
      <w:r>
        <w:rPr>
          <w:rFonts w:hint="default"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%估算。工程结算时，按实结算。</w:t>
      </w:r>
      <w:r>
        <w:rPr>
          <w:rFonts w:hint="eastAsia" w:ascii="宋体" w:hAnsi="宋体" w:eastAsia="宋体" w:cs="宋体"/>
          <w:kern w:val="2"/>
          <w:sz w:val="28"/>
          <w:szCs w:val="28"/>
          <w:highlight w:val="none"/>
          <w:lang w:val="en-US" w:eastAsia="zh-CN" w:bidi="ar-SA"/>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A.1-3</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B.3-5</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C.5-7</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D.7-9</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多选题：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1、依据《建设工程工程量清单计价规范》(GB50500-2013)，对工程质量有异议的工程结算，说法正确的是(</w:t>
      </w:r>
      <w:r>
        <w:rPr>
          <w:rFonts w:hint="default" w:ascii="宋体" w:hAnsi="宋体" w:eastAsia="宋体" w:cs="宋体"/>
          <w:color w:val="000000"/>
          <w:kern w:val="0"/>
          <w:sz w:val="28"/>
          <w:szCs w:val="28"/>
          <w:highlight w:val="none"/>
          <w:lang w:val="en-US" w:eastAsia="zh-CN" w:bidi="ar"/>
        </w:rPr>
        <w:t xml:space="preserve">  </w:t>
      </w:r>
      <w:r>
        <w:rPr>
          <w:rFonts w:hint="eastAsia" w:ascii="宋体" w:hAnsi="宋体" w:eastAsia="宋体" w:cs="宋体"/>
          <w:color w:val="000000"/>
          <w:kern w:val="0"/>
          <w:sz w:val="28"/>
          <w:szCs w:val="28"/>
          <w:highlight w:val="non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A.已竣工验收的工程，其质量争议应按照该工程保修合同约定执行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B.已竣工未验收但实际投入使用的工程，其质量争议应按照该工程保修合同执行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C.已竣工未验收且未实际投入使用的工程，存在质量争议的不予办理竣工结算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D.已竣工未验收且未实际投入使用的工程，无质量争议部分应按合同约定办理竣工结算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2、依据《福建省房屋建筑工程总承包模拟清单计量规则（2022 年版》，</w:t>
      </w:r>
      <w:r>
        <w:rPr>
          <w:rFonts w:hint="eastAsia" w:ascii="宋体" w:hAnsi="宋体" w:eastAsia="宋体" w:cs="宋体"/>
          <w:sz w:val="28"/>
          <w:szCs w:val="28"/>
          <w:highlight w:val="none"/>
        </w:rPr>
        <w:t>除另有规定外，下列</w:t>
      </w:r>
      <w:r>
        <w:rPr>
          <w:rFonts w:hint="eastAsia" w:ascii="宋体" w:hAnsi="宋体" w:eastAsia="宋体" w:cs="宋体"/>
          <w:sz w:val="28"/>
          <w:szCs w:val="28"/>
          <w:highlight w:val="none"/>
          <w:lang w:val="en-US" w:eastAsia="zh-CN"/>
        </w:rPr>
        <w:t>哪些</w:t>
      </w:r>
      <w:r>
        <w:rPr>
          <w:rFonts w:hint="eastAsia" w:ascii="宋体" w:hAnsi="宋体" w:eastAsia="宋体" w:cs="宋体"/>
          <w:sz w:val="28"/>
          <w:szCs w:val="28"/>
          <w:highlight w:val="none"/>
        </w:rPr>
        <w:t>情形在工程结算时重新调整综合单价，并调整工程造价</w:t>
      </w:r>
      <w:r>
        <w:rPr>
          <w:rFonts w:hint="eastAsia" w:ascii="宋体" w:hAnsi="宋体" w:eastAsia="宋体" w:cs="宋体"/>
          <w:sz w:val="28"/>
          <w:szCs w:val="28"/>
          <w:highlight w:val="none"/>
          <w:lang w:eastAsia="zh-CN"/>
        </w:rPr>
        <w:t>（</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kern w:val="2"/>
          <w:sz w:val="28"/>
          <w:szCs w:val="28"/>
          <w:highlight w:val="none"/>
          <w:lang w:val="en-US" w:eastAsia="zh-CN" w:bidi="ar-SA"/>
        </w:rPr>
        <w:t xml:space="preserve"> </w:t>
      </w:r>
      <w:r>
        <w:rPr>
          <w:rFonts w:hint="eastAsia" w:ascii="宋体" w:hAnsi="宋体" w:eastAsia="宋体" w:cs="宋体"/>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bookmarkStart w:id="0" w:name="_Toc12556"/>
      <w:r>
        <w:rPr>
          <w:rFonts w:hint="eastAsia" w:ascii="宋体" w:hAnsi="宋体" w:eastAsia="宋体" w:cs="宋体"/>
          <w:sz w:val="28"/>
          <w:szCs w:val="28"/>
          <w:highlight w:val="none"/>
          <w:lang w:val="en-US" w:eastAsia="zh-CN"/>
        </w:rPr>
        <w:t>A.</w:t>
      </w:r>
      <w:r>
        <w:rPr>
          <w:rFonts w:hint="eastAsia" w:ascii="宋体" w:hAnsi="宋体" w:eastAsia="宋体" w:cs="宋体"/>
          <w:sz w:val="28"/>
          <w:szCs w:val="28"/>
          <w:highlight w:val="none"/>
        </w:rPr>
        <w:t>发包人要求变更，且综合单价发生变化的。</w:t>
      </w:r>
      <w:bookmarkEnd w:id="0"/>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w:t>
      </w:r>
      <w:r>
        <w:rPr>
          <w:rFonts w:hint="eastAsia" w:ascii="宋体" w:hAnsi="宋体" w:eastAsia="宋体" w:cs="宋体"/>
          <w:sz w:val="28"/>
          <w:szCs w:val="28"/>
          <w:highlight w:val="none"/>
        </w:rPr>
        <w:t>已标价模拟清单中的发包人要求与招标控制价中的发包人要求不一致，且不利于</w:t>
      </w:r>
      <w:r>
        <w:rPr>
          <w:rFonts w:hint="eastAsia" w:ascii="宋体" w:hAnsi="宋体" w:eastAsia="宋体" w:cs="宋体"/>
          <w:sz w:val="28"/>
          <w:szCs w:val="28"/>
          <w:highlight w:val="none"/>
          <w:lang w:val="en-US" w:eastAsia="zh-CN"/>
        </w:rPr>
        <w:t>承包人</w:t>
      </w:r>
      <w:r>
        <w:rPr>
          <w:rFonts w:hint="eastAsia" w:ascii="宋体" w:hAnsi="宋体" w:eastAsia="宋体" w:cs="宋体"/>
          <w:sz w:val="28"/>
          <w:szCs w:val="28"/>
          <w:highlight w:val="none"/>
        </w:rPr>
        <w:t>的。</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C.已标价模拟清单中的发包人要求与招标控制价中的发包人要求不一致，且不利于发包人的。</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D.承包人要求变更，且综合单价发生变化的。</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3、依据《福建省房屋建筑工程总承包模拟清单计量规则（2022 年版》，</w:t>
      </w:r>
      <w:r>
        <w:rPr>
          <w:rFonts w:hint="eastAsia" w:ascii="宋体" w:hAnsi="宋体" w:eastAsia="宋体" w:cs="宋体"/>
          <w:sz w:val="28"/>
          <w:szCs w:val="28"/>
          <w:highlight w:val="none"/>
        </w:rPr>
        <w:t>出现下列</w:t>
      </w:r>
      <w:r>
        <w:rPr>
          <w:rFonts w:hint="eastAsia" w:ascii="宋体" w:hAnsi="宋体" w:eastAsia="宋体" w:cs="宋体"/>
          <w:sz w:val="28"/>
          <w:szCs w:val="28"/>
          <w:highlight w:val="none"/>
          <w:lang w:val="en-US" w:eastAsia="zh-CN"/>
        </w:rPr>
        <w:t>哪些</w:t>
      </w:r>
      <w:r>
        <w:rPr>
          <w:rFonts w:hint="eastAsia" w:ascii="宋体" w:hAnsi="宋体" w:eastAsia="宋体" w:cs="宋体"/>
          <w:sz w:val="28"/>
          <w:szCs w:val="28"/>
          <w:highlight w:val="none"/>
        </w:rPr>
        <w:t>情形时，尚需在项目特征中描述</w:t>
      </w:r>
      <w:r>
        <w:rPr>
          <w:rFonts w:hint="eastAsia" w:ascii="宋体" w:hAnsi="宋体" w:eastAsia="宋体" w:cs="宋体"/>
          <w:sz w:val="28"/>
          <w:szCs w:val="28"/>
          <w:highlight w:val="none"/>
          <w:lang w:eastAsia="zh-CN"/>
        </w:rPr>
        <w:t>（</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kern w:val="2"/>
          <w:sz w:val="28"/>
          <w:szCs w:val="28"/>
          <w:highlight w:val="none"/>
          <w:lang w:val="en-US" w:eastAsia="zh-CN" w:bidi="ar-SA"/>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A.土方开挖土壤类别为湿土</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B.沟槽开挖横撑间距≤3m</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C.回填方</w:t>
      </w:r>
      <w:r>
        <w:rPr>
          <w:rFonts w:hint="eastAsia" w:ascii="宋体" w:hAnsi="宋体" w:eastAsia="宋体" w:cs="宋体"/>
          <w:sz w:val="28"/>
          <w:szCs w:val="28"/>
          <w:highlight w:val="none"/>
        </w:rPr>
        <w:t>压实度不小于95%</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D.采用推土机开挖</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E.余方弃置废弃料种类为湿土</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420" w:lineRule="exact"/>
        <w:ind w:left="0" w:right="0"/>
        <w:jc w:val="both"/>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4、依据《福建省房屋建筑工程总承包模拟清单计量规则（2022 年版》，</w:t>
      </w:r>
      <w:r>
        <w:rPr>
          <w:rFonts w:hint="eastAsia" w:ascii="宋体" w:hAnsi="宋体" w:eastAsia="宋体" w:cs="宋体"/>
          <w:sz w:val="28"/>
          <w:szCs w:val="28"/>
          <w:highlight w:val="none"/>
        </w:rPr>
        <w:t>出现下列</w:t>
      </w:r>
      <w:r>
        <w:rPr>
          <w:rFonts w:hint="eastAsia" w:ascii="宋体" w:hAnsi="宋体" w:eastAsia="宋体" w:cs="宋体"/>
          <w:sz w:val="28"/>
          <w:szCs w:val="28"/>
          <w:highlight w:val="none"/>
          <w:lang w:val="en-US" w:eastAsia="zh-CN"/>
        </w:rPr>
        <w:t>哪些</w:t>
      </w:r>
      <w:r>
        <w:rPr>
          <w:rFonts w:hint="eastAsia" w:ascii="宋体" w:hAnsi="宋体" w:eastAsia="宋体" w:cs="宋体"/>
          <w:sz w:val="28"/>
          <w:szCs w:val="28"/>
          <w:highlight w:val="none"/>
        </w:rPr>
        <w:t>情形时，尚需在项目特征中描述</w:t>
      </w:r>
      <w:r>
        <w:rPr>
          <w:rFonts w:hint="eastAsia" w:ascii="宋体" w:hAnsi="宋体" w:eastAsia="宋体" w:cs="宋体"/>
          <w:sz w:val="28"/>
          <w:szCs w:val="28"/>
          <w:highlight w:val="none"/>
          <w:lang w:eastAsia="zh-CN"/>
        </w:rPr>
        <w:t>（</w:t>
      </w:r>
      <w:r>
        <w:rPr>
          <w:rFonts w:hint="default"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A.</w:t>
      </w:r>
      <w:r>
        <w:rPr>
          <w:rFonts w:hint="eastAsia" w:ascii="宋体" w:hAnsi="宋体" w:eastAsia="宋体" w:cs="宋体"/>
          <w:sz w:val="28"/>
          <w:szCs w:val="28"/>
          <w:highlight w:val="none"/>
        </w:rPr>
        <w:t>强夯地基需填充级配碎石</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B.</w:t>
      </w:r>
      <w:r>
        <w:rPr>
          <w:rFonts w:hint="eastAsia" w:ascii="宋体" w:hAnsi="宋体" w:eastAsia="宋体" w:cs="宋体"/>
          <w:sz w:val="28"/>
          <w:szCs w:val="28"/>
          <w:highlight w:val="none"/>
        </w:rPr>
        <w:t>水泥搅拌桩采用喷粉、全断面套打</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C.</w:t>
      </w:r>
      <w:r>
        <w:rPr>
          <w:rFonts w:hint="eastAsia" w:ascii="宋体" w:hAnsi="宋体" w:eastAsia="宋体" w:cs="宋体"/>
          <w:sz w:val="28"/>
          <w:szCs w:val="28"/>
          <w:highlight w:val="none"/>
        </w:rPr>
        <w:t>圆木桩的接桩头</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D.咬合灌注桩需埋设钢护筒</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E.沉管灌砂石桩的空孔回填材料</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snapToGrid w:val="0"/>
        <w:spacing w:line="420" w:lineRule="exact"/>
        <w:ind w:leftChars="0"/>
        <w:textAlignment w:val="auto"/>
        <w:rPr>
          <w:rFonts w:hint="eastAsia" w:ascii="宋体" w:hAnsi="宋体" w:eastAsia="宋体" w:cs="宋体"/>
          <w:sz w:val="28"/>
          <w:szCs w:val="28"/>
          <w:highlight w:val="none"/>
          <w:lang w:val="en-US" w:eastAsia="zh-CN"/>
        </w:rPr>
      </w:pPr>
      <w:r>
        <w:rPr>
          <w:rFonts w:hint="eastAsia" w:eastAsia="宋体" w:cs="宋体"/>
          <w:sz w:val="28"/>
          <w:szCs w:val="28"/>
          <w:highlight w:val="none"/>
          <w:lang w:val="en-US" w:eastAsia="zh-CN"/>
        </w:rPr>
        <w:t>5</w:t>
      </w:r>
      <w:r>
        <w:rPr>
          <w:rFonts w:hint="eastAsia" w:ascii="宋体" w:hAnsi="宋体" w:eastAsia="宋体" w:cs="宋体"/>
          <w:sz w:val="28"/>
          <w:szCs w:val="28"/>
          <w:highlight w:val="none"/>
          <w:lang w:val="en-US" w:eastAsia="zh-CN"/>
        </w:rPr>
        <w:t>、</w:t>
      </w:r>
      <w:r>
        <w:rPr>
          <w:rFonts w:hint="eastAsia" w:eastAsia="宋体" w:cs="宋体"/>
          <w:sz w:val="28"/>
          <w:szCs w:val="28"/>
          <w:highlight w:val="none"/>
          <w:lang w:val="en-US" w:eastAsia="zh-CN"/>
        </w:rPr>
        <w:t>依据</w:t>
      </w:r>
      <w:r>
        <w:rPr>
          <w:rFonts w:hint="eastAsia" w:ascii="宋体" w:hAnsi="宋体" w:eastAsia="宋体" w:cs="宋体"/>
          <w:sz w:val="28"/>
          <w:szCs w:val="28"/>
          <w:highlight w:val="none"/>
          <w:lang w:val="en-US" w:eastAsia="zh-CN"/>
        </w:rPr>
        <w:t>《福建省房屋建筑工程总承包模拟清单计量规则（2022 年版》，招标文件未明确时</w:t>
      </w:r>
      <w:r>
        <w:rPr>
          <w:rFonts w:hint="eastAsia" w:ascii="宋体" w:hAnsi="宋体" w:eastAsia="宋体" w:cs="宋体"/>
          <w:sz w:val="28"/>
          <w:szCs w:val="28"/>
          <w:highlight w:val="none"/>
        </w:rPr>
        <w:t>其项目特征可描述为“综合考虑”</w:t>
      </w:r>
      <w:r>
        <w:rPr>
          <w:rFonts w:hint="eastAsia" w:ascii="宋体" w:hAnsi="宋体" w:eastAsia="宋体" w:cs="宋体"/>
          <w:sz w:val="28"/>
          <w:szCs w:val="28"/>
          <w:highlight w:val="none"/>
          <w:lang w:val="en-US" w:eastAsia="zh-CN"/>
        </w:rPr>
        <w:t>的有（</w:t>
      </w:r>
      <w:r>
        <w:rPr>
          <w:rFonts w:hint="default" w:eastAsia="宋体" w:cs="宋体"/>
          <w:sz w:val="28"/>
          <w:szCs w:val="28"/>
          <w:highlight w:val="none"/>
          <w:lang w:val="en-US" w:eastAsia="zh-CN"/>
        </w:rPr>
        <w:t xml:space="preserve">   </w:t>
      </w:r>
      <w:bookmarkStart w:id="1" w:name="_GoBack"/>
      <w:bookmarkEnd w:id="1"/>
      <w:r>
        <w:rPr>
          <w:rFonts w:hint="eastAsia" w:ascii="宋体" w:hAnsi="宋体" w:eastAsia="宋体" w:cs="宋体"/>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A.</w:t>
      </w:r>
      <w:r>
        <w:rPr>
          <w:rFonts w:hint="eastAsia" w:ascii="宋体" w:hAnsi="宋体" w:eastAsia="宋体" w:cs="宋体"/>
          <w:sz w:val="28"/>
          <w:szCs w:val="28"/>
          <w:highlight w:val="none"/>
        </w:rPr>
        <w:t>除满堂承重脚手架外的其他清单的脚手架材质</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B.</w:t>
      </w:r>
      <w:r>
        <w:rPr>
          <w:rFonts w:hint="eastAsia" w:ascii="宋体" w:hAnsi="宋体" w:eastAsia="宋体" w:cs="宋体"/>
          <w:sz w:val="28"/>
          <w:szCs w:val="28"/>
          <w:highlight w:val="none"/>
        </w:rPr>
        <w:t>脚手架基础加固</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C.</w:t>
      </w:r>
      <w:r>
        <w:rPr>
          <w:rFonts w:hint="eastAsia" w:ascii="宋体" w:hAnsi="宋体" w:eastAsia="宋体" w:cs="宋体"/>
          <w:sz w:val="28"/>
          <w:szCs w:val="28"/>
          <w:highlight w:val="none"/>
        </w:rPr>
        <w:t>外墙脚手架需同时满足结构主体及外墙幕墙施工需要</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w:t>
      </w:r>
      <w:r>
        <w:rPr>
          <w:rFonts w:hint="eastAsia" w:ascii="宋体" w:hAnsi="宋体" w:eastAsia="宋体" w:cs="宋体"/>
          <w:sz w:val="28"/>
          <w:szCs w:val="28"/>
          <w:highlight w:val="none"/>
        </w:rPr>
        <w:t>电梯井脚手架、满堂承重脚手架的搭设空间几何尺寸</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E.</w:t>
      </w:r>
      <w:r>
        <w:rPr>
          <w:rFonts w:hint="eastAsia" w:ascii="宋体" w:hAnsi="宋体" w:eastAsia="宋体" w:cs="宋体"/>
          <w:sz w:val="28"/>
          <w:szCs w:val="28"/>
          <w:highlight w:val="none"/>
        </w:rPr>
        <w:t>外装饰吊篮的升降方式、搭设高度及吊篮型号</w:t>
      </w:r>
    </w:p>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kern w:val="0"/>
          <w:sz w:val="28"/>
          <w:szCs w:val="28"/>
          <w:lang w:val="en-US" w:eastAsia="zh-CN" w:bidi="ar"/>
        </w:rPr>
      </w:pPr>
    </w:p>
    <w:p>
      <w:pPr>
        <w:keepNext w:val="0"/>
        <w:keepLines w:val="0"/>
        <w:pageBreakBefore w:val="0"/>
        <w:kinsoku/>
        <w:overflowPunct/>
        <w:topLinePunct w:val="0"/>
        <w:autoSpaceDE/>
        <w:autoSpaceDN/>
        <w:bidi w:val="0"/>
        <w:adjustRightInd/>
        <w:spacing w:line="460" w:lineRule="exact"/>
        <w:textAlignment w:val="auto"/>
        <w:rPr>
          <w:rFonts w:hint="eastAsia" w:ascii="宋体" w:hAnsi="宋体" w:eastAsia="宋体" w:cs="宋体"/>
          <w:sz w:val="22"/>
          <w:szCs w:val="22"/>
          <w:lang w:val="en-US" w:eastAsia="zh-CN"/>
        </w:rPr>
      </w:pPr>
    </w:p>
    <w:sectPr>
      <w:pgSz w:w="11906" w:h="16838"/>
      <w:pgMar w:top="1304" w:right="1304" w:bottom="1304" w:left="130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0MzQ1MGNmYzY4ZGU2YmJiZDM5ZGQ1OGU0ZmI5Y2YifQ=="/>
  </w:docVars>
  <w:rsids>
    <w:rsidRoot w:val="00172A27"/>
    <w:rsid w:val="00702968"/>
    <w:rsid w:val="00C34DAD"/>
    <w:rsid w:val="01BFB7FC"/>
    <w:rsid w:val="01E43941"/>
    <w:rsid w:val="02105DD0"/>
    <w:rsid w:val="028B7ABC"/>
    <w:rsid w:val="03140887"/>
    <w:rsid w:val="03313CEC"/>
    <w:rsid w:val="0337738D"/>
    <w:rsid w:val="0341645D"/>
    <w:rsid w:val="03AA5DB1"/>
    <w:rsid w:val="04A44EF6"/>
    <w:rsid w:val="0558029C"/>
    <w:rsid w:val="057F7C7F"/>
    <w:rsid w:val="05F628AD"/>
    <w:rsid w:val="074F3AFD"/>
    <w:rsid w:val="07C62CA3"/>
    <w:rsid w:val="082219A2"/>
    <w:rsid w:val="082A4A66"/>
    <w:rsid w:val="096864F2"/>
    <w:rsid w:val="09957428"/>
    <w:rsid w:val="0A002BCE"/>
    <w:rsid w:val="0A4D6167"/>
    <w:rsid w:val="0A785525"/>
    <w:rsid w:val="0B221012"/>
    <w:rsid w:val="0B6F290B"/>
    <w:rsid w:val="0C4F1BEB"/>
    <w:rsid w:val="0CBD0136"/>
    <w:rsid w:val="0CD36378"/>
    <w:rsid w:val="0D2D6A5E"/>
    <w:rsid w:val="0E1E3623"/>
    <w:rsid w:val="0E446D23"/>
    <w:rsid w:val="0F1A028E"/>
    <w:rsid w:val="0F2731F8"/>
    <w:rsid w:val="0FD4584D"/>
    <w:rsid w:val="101D1456"/>
    <w:rsid w:val="10512AE0"/>
    <w:rsid w:val="106E4B7E"/>
    <w:rsid w:val="109220A6"/>
    <w:rsid w:val="10944070"/>
    <w:rsid w:val="10A83678"/>
    <w:rsid w:val="10D40911"/>
    <w:rsid w:val="116B4DEC"/>
    <w:rsid w:val="11E21E3A"/>
    <w:rsid w:val="121A05A5"/>
    <w:rsid w:val="12750F57"/>
    <w:rsid w:val="13491BE7"/>
    <w:rsid w:val="13685340"/>
    <w:rsid w:val="15604521"/>
    <w:rsid w:val="15F07F9B"/>
    <w:rsid w:val="166603B1"/>
    <w:rsid w:val="168801D3"/>
    <w:rsid w:val="1696521E"/>
    <w:rsid w:val="16E3061B"/>
    <w:rsid w:val="1722157F"/>
    <w:rsid w:val="179B7A92"/>
    <w:rsid w:val="17D62037"/>
    <w:rsid w:val="18041ADC"/>
    <w:rsid w:val="19DD2E3C"/>
    <w:rsid w:val="19FD4AA7"/>
    <w:rsid w:val="1B214272"/>
    <w:rsid w:val="1B446693"/>
    <w:rsid w:val="1B5944E3"/>
    <w:rsid w:val="1B8847D2"/>
    <w:rsid w:val="1C0833E3"/>
    <w:rsid w:val="1C13053F"/>
    <w:rsid w:val="1C9378D2"/>
    <w:rsid w:val="1CE7730A"/>
    <w:rsid w:val="1D0B323E"/>
    <w:rsid w:val="1D4A4435"/>
    <w:rsid w:val="1D9B4C90"/>
    <w:rsid w:val="1E2A7DC2"/>
    <w:rsid w:val="1F0E3240"/>
    <w:rsid w:val="1F10245E"/>
    <w:rsid w:val="1F2B3DF2"/>
    <w:rsid w:val="204746CE"/>
    <w:rsid w:val="20D22560"/>
    <w:rsid w:val="213E2E90"/>
    <w:rsid w:val="21FE5AAC"/>
    <w:rsid w:val="23085188"/>
    <w:rsid w:val="230E1A60"/>
    <w:rsid w:val="23365E57"/>
    <w:rsid w:val="23411E36"/>
    <w:rsid w:val="23706277"/>
    <w:rsid w:val="23B3775D"/>
    <w:rsid w:val="23E629DD"/>
    <w:rsid w:val="24021A0E"/>
    <w:rsid w:val="264E678A"/>
    <w:rsid w:val="26AD77E2"/>
    <w:rsid w:val="27B150B0"/>
    <w:rsid w:val="27FA6C80"/>
    <w:rsid w:val="28B46C06"/>
    <w:rsid w:val="28F73760"/>
    <w:rsid w:val="290D4568"/>
    <w:rsid w:val="29296C4B"/>
    <w:rsid w:val="29385A89"/>
    <w:rsid w:val="29564161"/>
    <w:rsid w:val="296350FE"/>
    <w:rsid w:val="29824F56"/>
    <w:rsid w:val="29DA2B0B"/>
    <w:rsid w:val="2AA318A8"/>
    <w:rsid w:val="2AC1560A"/>
    <w:rsid w:val="2ACA0963"/>
    <w:rsid w:val="2B0B4AD7"/>
    <w:rsid w:val="2B681F2A"/>
    <w:rsid w:val="2B795EE5"/>
    <w:rsid w:val="2BC2163A"/>
    <w:rsid w:val="2BD54376"/>
    <w:rsid w:val="2C073EA6"/>
    <w:rsid w:val="2C671B82"/>
    <w:rsid w:val="2CB24245"/>
    <w:rsid w:val="2CCD473A"/>
    <w:rsid w:val="2D012C77"/>
    <w:rsid w:val="2D1026FA"/>
    <w:rsid w:val="2F6A44C2"/>
    <w:rsid w:val="2FB43FD3"/>
    <w:rsid w:val="306F575A"/>
    <w:rsid w:val="310F585D"/>
    <w:rsid w:val="321150C9"/>
    <w:rsid w:val="32326DEE"/>
    <w:rsid w:val="32D45CEA"/>
    <w:rsid w:val="32DD144F"/>
    <w:rsid w:val="354B444E"/>
    <w:rsid w:val="355D23D3"/>
    <w:rsid w:val="357A5013"/>
    <w:rsid w:val="358A08C4"/>
    <w:rsid w:val="35CA5CBB"/>
    <w:rsid w:val="35D8756E"/>
    <w:rsid w:val="35DB7EC8"/>
    <w:rsid w:val="36496C07"/>
    <w:rsid w:val="36575075"/>
    <w:rsid w:val="37F474F0"/>
    <w:rsid w:val="389B1228"/>
    <w:rsid w:val="38B467AE"/>
    <w:rsid w:val="39A66F77"/>
    <w:rsid w:val="39AB5E03"/>
    <w:rsid w:val="3AC26874"/>
    <w:rsid w:val="3B606471"/>
    <w:rsid w:val="3B806E1C"/>
    <w:rsid w:val="3BCA1D66"/>
    <w:rsid w:val="3BCF518A"/>
    <w:rsid w:val="3C0E6BAC"/>
    <w:rsid w:val="3C111919"/>
    <w:rsid w:val="3C1B3557"/>
    <w:rsid w:val="3CA71421"/>
    <w:rsid w:val="3CA9008B"/>
    <w:rsid w:val="3CB77315"/>
    <w:rsid w:val="3CDF64FB"/>
    <w:rsid w:val="3CEE2AF9"/>
    <w:rsid w:val="3CFC24D2"/>
    <w:rsid w:val="3D1A4303"/>
    <w:rsid w:val="3E8B1D5F"/>
    <w:rsid w:val="3EBA2645"/>
    <w:rsid w:val="3ECC2AA4"/>
    <w:rsid w:val="3F2F79F1"/>
    <w:rsid w:val="3F70289A"/>
    <w:rsid w:val="3FE938F2"/>
    <w:rsid w:val="403A57EB"/>
    <w:rsid w:val="40AE7F87"/>
    <w:rsid w:val="40F47DB5"/>
    <w:rsid w:val="413C3FE6"/>
    <w:rsid w:val="41466412"/>
    <w:rsid w:val="419453CF"/>
    <w:rsid w:val="420B4CB9"/>
    <w:rsid w:val="425C413F"/>
    <w:rsid w:val="42996A73"/>
    <w:rsid w:val="43A54B16"/>
    <w:rsid w:val="43AA71C3"/>
    <w:rsid w:val="44DF3CF4"/>
    <w:rsid w:val="457C4AF8"/>
    <w:rsid w:val="459A5BC5"/>
    <w:rsid w:val="45A70232"/>
    <w:rsid w:val="45AA6E32"/>
    <w:rsid w:val="45D87004"/>
    <w:rsid w:val="466435C2"/>
    <w:rsid w:val="476B4E24"/>
    <w:rsid w:val="478B1022"/>
    <w:rsid w:val="47B749B2"/>
    <w:rsid w:val="487A531F"/>
    <w:rsid w:val="49813FA1"/>
    <w:rsid w:val="49D46CB0"/>
    <w:rsid w:val="4A062BE2"/>
    <w:rsid w:val="4A5A3216"/>
    <w:rsid w:val="4A7A7858"/>
    <w:rsid w:val="4A9D70A2"/>
    <w:rsid w:val="4ADC1447"/>
    <w:rsid w:val="4B455BAC"/>
    <w:rsid w:val="4B58746D"/>
    <w:rsid w:val="4BC6087B"/>
    <w:rsid w:val="4BCB40E3"/>
    <w:rsid w:val="4BD10B29"/>
    <w:rsid w:val="4BE7B8A9"/>
    <w:rsid w:val="4C35155C"/>
    <w:rsid w:val="4C885B30"/>
    <w:rsid w:val="4CC36B68"/>
    <w:rsid w:val="4DFD268C"/>
    <w:rsid w:val="4E30022D"/>
    <w:rsid w:val="50E20F9E"/>
    <w:rsid w:val="50F96FFC"/>
    <w:rsid w:val="51390D05"/>
    <w:rsid w:val="515F3290"/>
    <w:rsid w:val="517E7074"/>
    <w:rsid w:val="524D5852"/>
    <w:rsid w:val="54643C58"/>
    <w:rsid w:val="5572737D"/>
    <w:rsid w:val="55A8475C"/>
    <w:rsid w:val="569246E8"/>
    <w:rsid w:val="573655D6"/>
    <w:rsid w:val="57A35F14"/>
    <w:rsid w:val="58565E89"/>
    <w:rsid w:val="588F0397"/>
    <w:rsid w:val="58A43CF2"/>
    <w:rsid w:val="5ABF3065"/>
    <w:rsid w:val="5AC46702"/>
    <w:rsid w:val="5B647768"/>
    <w:rsid w:val="5B853CEE"/>
    <w:rsid w:val="5C3A3DAC"/>
    <w:rsid w:val="5C3E620B"/>
    <w:rsid w:val="5D591684"/>
    <w:rsid w:val="5DBD55D9"/>
    <w:rsid w:val="5EAA79D4"/>
    <w:rsid w:val="5F2416E8"/>
    <w:rsid w:val="5F2E29FE"/>
    <w:rsid w:val="5F322057"/>
    <w:rsid w:val="5F526256"/>
    <w:rsid w:val="60395667"/>
    <w:rsid w:val="60A9029A"/>
    <w:rsid w:val="60DC3FA4"/>
    <w:rsid w:val="60DF1D6B"/>
    <w:rsid w:val="60EB69F2"/>
    <w:rsid w:val="6170126D"/>
    <w:rsid w:val="61AA5F0C"/>
    <w:rsid w:val="61E810F3"/>
    <w:rsid w:val="620E3683"/>
    <w:rsid w:val="6252656D"/>
    <w:rsid w:val="626E5E62"/>
    <w:rsid w:val="631A1780"/>
    <w:rsid w:val="631D6B7A"/>
    <w:rsid w:val="63AE1D79"/>
    <w:rsid w:val="65847B35"/>
    <w:rsid w:val="65C21C5B"/>
    <w:rsid w:val="65E0067C"/>
    <w:rsid w:val="666E56CA"/>
    <w:rsid w:val="67B0620F"/>
    <w:rsid w:val="67CD11C6"/>
    <w:rsid w:val="68091DC3"/>
    <w:rsid w:val="682C1FA0"/>
    <w:rsid w:val="68A120B7"/>
    <w:rsid w:val="68C65505"/>
    <w:rsid w:val="698C3E60"/>
    <w:rsid w:val="69E2467A"/>
    <w:rsid w:val="69FF8CD4"/>
    <w:rsid w:val="6AA638F9"/>
    <w:rsid w:val="6AD51554"/>
    <w:rsid w:val="6B063893"/>
    <w:rsid w:val="6B431148"/>
    <w:rsid w:val="6BF66644"/>
    <w:rsid w:val="6C021003"/>
    <w:rsid w:val="6C6626B3"/>
    <w:rsid w:val="6CF22E26"/>
    <w:rsid w:val="6CFE7A1D"/>
    <w:rsid w:val="6D1234C8"/>
    <w:rsid w:val="6F6A75EB"/>
    <w:rsid w:val="6F8C57B4"/>
    <w:rsid w:val="6FB7347D"/>
    <w:rsid w:val="6FFF7060"/>
    <w:rsid w:val="70424C16"/>
    <w:rsid w:val="70545BA6"/>
    <w:rsid w:val="70E45B82"/>
    <w:rsid w:val="715F2A54"/>
    <w:rsid w:val="71944B31"/>
    <w:rsid w:val="71A32941"/>
    <w:rsid w:val="71A36DE5"/>
    <w:rsid w:val="724400D0"/>
    <w:rsid w:val="72CB03A1"/>
    <w:rsid w:val="732C5FD6"/>
    <w:rsid w:val="73695952"/>
    <w:rsid w:val="738E0755"/>
    <w:rsid w:val="74884070"/>
    <w:rsid w:val="75B6737C"/>
    <w:rsid w:val="75B8694F"/>
    <w:rsid w:val="78686692"/>
    <w:rsid w:val="78866B18"/>
    <w:rsid w:val="78C935D5"/>
    <w:rsid w:val="79E61F64"/>
    <w:rsid w:val="7AEF0821"/>
    <w:rsid w:val="7B79CEFB"/>
    <w:rsid w:val="7DEB7B49"/>
    <w:rsid w:val="7DED394D"/>
    <w:rsid w:val="7E0F5C52"/>
    <w:rsid w:val="7E2D0162"/>
    <w:rsid w:val="7E7E09BD"/>
    <w:rsid w:val="7E955828"/>
    <w:rsid w:val="7EAE9B1F"/>
    <w:rsid w:val="7EC62889"/>
    <w:rsid w:val="7EF3093D"/>
    <w:rsid w:val="7F1DE912"/>
    <w:rsid w:val="7FC73381"/>
    <w:rsid w:val="7FD6B854"/>
    <w:rsid w:val="7FEA3E31"/>
    <w:rsid w:val="7FF778F0"/>
    <w:rsid w:val="99AFC20E"/>
    <w:rsid w:val="9FEF6192"/>
    <w:rsid w:val="AF341A58"/>
    <w:rsid w:val="B1FFE5C7"/>
    <w:rsid w:val="B9BFEA91"/>
    <w:rsid w:val="D9F35511"/>
    <w:rsid w:val="DFBF6FD0"/>
    <w:rsid w:val="DFF74AA3"/>
    <w:rsid w:val="DFFF135A"/>
    <w:rsid w:val="EDF939C9"/>
    <w:rsid w:val="F6B6AFD7"/>
    <w:rsid w:val="F91E4E0B"/>
    <w:rsid w:val="FC7F06A8"/>
    <w:rsid w:val="FD64B9CD"/>
    <w:rsid w:val="FDF7E84E"/>
    <w:rsid w:val="FEEF6149"/>
    <w:rsid w:val="FF2F3348"/>
    <w:rsid w:val="FFA94F5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iPriority="99"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20" w:beforeAutospacing="0" w:after="180" w:afterAutospacing="0"/>
      <w:ind w:left="0" w:right="0"/>
      <w:jc w:val="left"/>
    </w:pPr>
    <w:rPr>
      <w:rFonts w:ascii="Arial" w:hAnsi="Arial" w:cs="Arial"/>
      <w:kern w:val="0"/>
      <w:sz w:val="18"/>
      <w:szCs w:val="18"/>
      <w:lang w:val="en-US" w:eastAsia="zh-CN" w:bidi="ar"/>
    </w:rPr>
  </w:style>
  <w:style w:type="character" w:styleId="8">
    <w:name w:val="FollowedHyperlink"/>
    <w:basedOn w:val="7"/>
    <w:qFormat/>
    <w:uiPriority w:val="0"/>
    <w:rPr>
      <w:color w:val="0066FF"/>
      <w:u w:val="none"/>
    </w:rPr>
  </w:style>
  <w:style w:type="character" w:styleId="9">
    <w:name w:val="line number"/>
    <w:basedOn w:val="7"/>
    <w:unhideWhenUsed/>
    <w:qFormat/>
    <w:uiPriority w:val="99"/>
    <w:rPr>
      <w:rFonts w:hint="eastAsia"/>
      <w:sz w:val="24"/>
      <w:szCs w:val="24"/>
    </w:rPr>
  </w:style>
  <w:style w:type="character" w:styleId="10">
    <w:name w:val="Hyperlink"/>
    <w:basedOn w:val="7"/>
    <w:qFormat/>
    <w:uiPriority w:val="0"/>
    <w:rPr>
      <w:color w:val="0066FF"/>
      <w:u w:val="none"/>
    </w:rPr>
  </w:style>
  <w:style w:type="character" w:customStyle="1" w:styleId="11">
    <w:name w:val="15"/>
    <w:basedOn w:val="7"/>
    <w:qFormat/>
    <w:uiPriority w:val="0"/>
    <w:rPr>
      <w:rFonts w:hint="default" w:ascii="Times New Roman" w:hAnsi="Times New Roman" w:cs="Times New Roman"/>
      <w:color w:val="0066FF"/>
    </w:rPr>
  </w:style>
  <w:style w:type="character" w:customStyle="1" w:styleId="12">
    <w:name w:val="10"/>
    <w:basedOn w:val="7"/>
    <w:qFormat/>
    <w:uiPriority w:val="0"/>
    <w:rPr>
      <w:rFonts w:hint="default" w:ascii="Times New Roman" w:hAnsi="Times New Roman" w:cs="Times New Roman"/>
    </w:rPr>
  </w:style>
  <w:style w:type="character" w:customStyle="1" w:styleId="13">
    <w:name w:val="18"/>
    <w:basedOn w:val="7"/>
    <w:qFormat/>
    <w:uiPriority w:val="0"/>
    <w:rPr>
      <w:rFonts w:hint="default" w:ascii="Times New Roman" w:hAnsi="Times New Roman" w:cs="Times New Roman"/>
      <w:i/>
      <w:iCs/>
      <w:color w:val="0000FF"/>
    </w:rPr>
  </w:style>
  <w:style w:type="character" w:customStyle="1" w:styleId="14">
    <w:name w:val="17"/>
    <w:basedOn w:val="7"/>
    <w:qFormat/>
    <w:uiPriority w:val="0"/>
    <w:rPr>
      <w:rFonts w:hint="default" w:ascii="Times New Roman" w:hAnsi="Times New Roman" w:cs="Times New Roman"/>
      <w:color w:val="0066FF"/>
    </w:rPr>
  </w:style>
  <w:style w:type="character" w:customStyle="1" w:styleId="15">
    <w:name w:val="16"/>
    <w:basedOn w:val="7"/>
    <w:qFormat/>
    <w:uiPriority w:val="0"/>
    <w:rPr>
      <w:rFonts w:hint="default" w:ascii="Times New Roman" w:hAnsi="Times New Roman" w:cs="Times New Roman"/>
      <w:b/>
    </w:rPr>
  </w:style>
  <w:style w:type="character" w:customStyle="1" w:styleId="16">
    <w:name w:val="19"/>
    <w:basedOn w:val="7"/>
    <w:qFormat/>
    <w:uiPriority w:val="0"/>
    <w:rPr>
      <w:rFonts w:hint="default" w:ascii="Times New Roman" w:hAnsi="Times New Roman" w:cs="Times New Roman"/>
      <w:i/>
      <w:iCs/>
      <w:color w:val="FF0000"/>
    </w:rPr>
  </w:style>
  <w:style w:type="character" w:customStyle="1" w:styleId="17">
    <w:name w:val="20"/>
    <w:basedOn w:val="7"/>
    <w:qFormat/>
    <w:uiPriority w:val="0"/>
    <w:rPr>
      <w:rFonts w:hint="default" w:ascii="Times New Roman" w:hAnsi="Times New Roman" w:cs="Times New Roman"/>
      <w:color w:val="FF0000"/>
    </w:rPr>
  </w:style>
  <w:style w:type="paragraph" w:customStyle="1" w:styleId="18">
    <w:name w:val="style6"/>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1"/>
      <w:szCs w:val="21"/>
      <w:lang w:val="en-US" w:eastAsia="zh-CN" w:bidi="ar"/>
    </w:rPr>
  </w:style>
  <w:style w:type="character" w:customStyle="1" w:styleId="19">
    <w:name w:val="expandtext"/>
    <w:basedOn w:val="7"/>
    <w:qFormat/>
    <w:uiPriority w:val="0"/>
    <w:rPr>
      <w:i/>
      <w:iCs/>
      <w:color w:val="FF0000"/>
    </w:rPr>
  </w:style>
  <w:style w:type="character" w:customStyle="1" w:styleId="20">
    <w:name w:val="glosstext"/>
    <w:basedOn w:val="7"/>
    <w:qFormat/>
    <w:uiPriority w:val="0"/>
    <w:rPr>
      <w:i/>
      <w:iCs/>
      <w:color w:val="0000FF"/>
    </w:rPr>
  </w:style>
  <w:style w:type="paragraph" w:customStyle="1" w:styleId="21">
    <w:name w:val="正文2"/>
    <w:basedOn w:val="1"/>
    <w:next w:val="1"/>
    <w:qFormat/>
    <w:uiPriority w:val="1"/>
    <w:pPr>
      <w:widowControl/>
      <w:snapToGrid w:val="0"/>
      <w:spacing w:line="520" w:lineRule="exact"/>
      <w:ind w:firstLine="200" w:firstLineChars="200"/>
      <w:jc w:val="left"/>
      <w:outlineLvl w:val="3"/>
    </w:pPr>
    <w:rPr>
      <w:rFonts w:ascii="宋体" w:hAnsi="宋体"/>
      <w:kern w:val="0"/>
    </w:rPr>
  </w:style>
  <w:style w:type="character" w:customStyle="1" w:styleId="22">
    <w:name w:val="style31"/>
    <w:basedOn w:val="7"/>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8954</Words>
  <Characters>10377</Characters>
  <Lines>1</Lines>
  <Paragraphs>1</Paragraphs>
  <TotalTime>46</TotalTime>
  <ScaleCrop>false</ScaleCrop>
  <LinksUpToDate>false</LinksUpToDate>
  <CharactersWithSpaces>10689</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2024-07-11T18:12:00Z</dcterms:created>
  <dc:creator>HuangSumei</dc:creator>
  <cp:lastModifiedBy>CJ</cp:lastModifiedBy>
  <dcterms:modified xsi:type="dcterms:W3CDTF">2024-10-25T19:39:48Z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81CC457B0DD50AF8EFCC0867D9B72825_43</vt:lpwstr>
  </property>
</Properties>
</file>